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8" w:rsidRPr="00DC4E48" w:rsidRDefault="008E725F" w:rsidP="00DC4E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633407-N-2018 z dnia 2018-10-08 r. </w:t>
      </w:r>
      <w:r w:rsidR="00DC4E48" w:rsidRPr="00DC4E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4E48" w:rsidRPr="00DC4E48" w:rsidRDefault="00DC4E48" w:rsidP="008E7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Zespoły Szkół im. Ks. Jerzego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Popioełuszki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Juchnowcu Górnym zaprasza do składania ofert </w:t>
      </w:r>
      <w:r w:rsidR="008E72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nieograniczonym na zakup i dostawę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</w:t>
      </w:r>
      <w:r w:rsidR="008E725F">
        <w:rPr>
          <w:rFonts w:ascii="Times New Roman" w:eastAsia="Times New Roman" w:hAnsi="Times New Roman" w:cs="Times New Roman"/>
          <w:sz w:val="24"/>
          <w:szCs w:val="24"/>
          <w:lang w:eastAsia="pl-PL"/>
        </w:rPr>
        <w:t>ydaktycznych oraz zakup, dostaw</w:t>
      </w:r>
      <w:bookmarkStart w:id="0" w:name="_GoBack"/>
      <w:bookmarkEnd w:id="0"/>
      <w:r w:rsidR="008E725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sprzętu w ramach projektu „Przedszkola Marzeń” dofinansowanego ze środków w ramach Regionalnego Programu Operacyjnego Województwa Podlaskiego na lata 2014 - 2020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PRZEDSZKOLA MARZEŃ w ramach Regionalnego Programu Operacyjnego Województwa Podlaskiego na lata 2014 - 2020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Juchnowcu Górnym, krajowy numer identyfikacyjny 5200630900000, ul. ul. Szkolna  5 , 16061   Juchnowiec, woj. podlaskie, państwo Polska, tel. 0-85 7196678, e-mail juchnowiec@wp.pl, faks 0-85 7195700.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www.zsj.home.pl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4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www.zsj.home.pl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www.zsj.home.pl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bezpośrednio do siedziby Zamawiającego za pośrednictwem operatora pocztowego w rozumieniu ustawy z dnia 23 listopada 2012 r. - Prawo pocztowe (Dz. U. poz. 1529 oraz z 2015 r. poz. 1830), osobiście lub za pośrednictwem kuriera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w Juchnowcu Górnym ul. Szkolna 5 16-061 Juchnowiec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oraz zakup, dostawa i montaż sprzętu w ramach projektu „Przedszkola Marzeń” dofinansowanego ze środków w ramach Regionalnego Programu Operacyjnego Województwa Podlaskiego na lata 2014 - 2020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26.3.2018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4E48" w:rsidRPr="00DC4E48" w:rsidRDefault="00DC4E48" w:rsidP="00DC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15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 dostawa pomocy dydaktycznych oraz dostawa, montaż i uruchomienie sprzętu multimedialnego. Przedmiot zamówienia jest podzielony na 15 części: Część I Sprzęt multimedialny Część II Materiały, pomoce dydaktyczne i zabawki do bieżącej pracy dydaktycznej Część III Pomoce dydaktyczne do zajęć logopedycznych „Daję słowo” Część IV Pomoce dydaktyczne do zajęć korekcyjno-kompensacyjnych Część V Pomoce dydaktyczne do zajęć terapii ręki „Zręczne dłonie-zręczny umysł” Część VI Pomoce dydaktyczne do zajęć gimnastyki korekcyjnej Część VII Pomoce dydaktyczne do indywidualnych zajęć gimnastyki korekcyjnej Część VIII Pomoce dydaktyczne do zajęć edukacyjnych rozwijających kompetencje </w:t>
      </w:r>
      <w:proofErr w:type="spellStart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emocjonalne Część IX Pomoce dydaktyczne do zajęć edukacyjnych rozwijających kompetencje językowe Część X Pomoce dydaktyczne do zajęć „Mały matematyk” Część XI Pomoce dydaktyczne do zajęć rozwijających postawę kreatywną przez plastykę Część XII Pomoce dydaktyczne do zajęć rozwijających postawę kreatywną przez </w:t>
      </w:r>
      <w:proofErr w:type="spellStart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sensoplastykę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XIII Pomoce dydaktyczne do zajęć rozwijających postawę kreatywną poprzez muzykę i ruch Część XIV Pomoce dydaktyczne do zajęć „Mali odkrywcy” Część XV Gry kreatywne Szczegółowy Opisu Przedmiotu Zamówienia dla każdej części znajduje się w formularzu kalkulacji cenowych stanowiącym Załączniki nr 1a-1o do SIWZ. Wykonawca może złożyć ofertę na wszystkie części zamówienia. Przez ofertę częściową Zamawiający rozumie cały asortyment obejmujący daną część zamówienia. Oferta musi być kompletna i zawierać wszystkie pozycje w zakresie poszczególnych części zamówienia. Nieuwzględnienie w danej części, na którą składana jest oferta, chociażby jednej z zamawianych pozycji asortymentowych, spowoduje odrzucenie oferty. Wykonawca zobowiązuje się: dostarczyć własnym transportem produkty zgodnie z treścią zawartą w SIWZ oraz załącznikami do SIWZ stosownie dla właściwej części zamówienia, wnieść przedmiot zamówienia do pomieszczeń wskazanych przez Zamawiającego, znajdujących się w jego siedzibie. Podane przez Zamawiającego nazwy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1a - 1o do SIWZ użyte są nazwy, znaki towarowe, patenty lub pochodzenie, źródło, które charakteryzuje produkty dostarczane przez konkretnego wykonawcę - zamawiający dopuszcza składanie ofert z rozwiązaniami równoważnymi, o ile zapewnią one zgodność realizacji przedmiotu zamówienia z SOPZ stanowiącym załącznik nr 1a -1o do SIWZ. Nazwy pomocy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Wszystkie pomoce, zabawki muszą spełniać polskie normy dotyczące dopuszczania ich do użytku w przedszkolach i kontaktu z dziećmi w wieku przedszkolnym.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Atesty zgodnie z obowiązującymi przepisami prawa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2018-10-23, godzina: 10:00,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42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MULTIMEDIALNY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i montaż sprzętu </w:t>
      </w:r>
      <w:proofErr w:type="spellStart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multmedilanego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komputerów przenośnych zgodnie z zał. nr 1a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32322000-6, 30213100-6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80"/>
        <w:gridCol w:w="834"/>
        <w:gridCol w:w="7157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MATERIAŁY, POMOCE DYDAKTYCZNE I ZABAWKI DO BIEŻĄCEJ PRACY DYDAKTYCZNEJ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1b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0"/>
        <w:gridCol w:w="834"/>
        <w:gridCol w:w="7080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LOGOPEDYCZNYCH DAJĘ SŁOWO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1c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80"/>
        <w:gridCol w:w="834"/>
        <w:gridCol w:w="7095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KOREKCYJNO-KOMPENSACYJNYCH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1d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0"/>
        <w:gridCol w:w="834"/>
        <w:gridCol w:w="7147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TERAPII RĘKI ZRĘCZNE DŁONIE-ZRĘCZNY UMYSŁ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1e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80"/>
        <w:gridCol w:w="834"/>
        <w:gridCol w:w="7035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OMOCE DYDAKTYCZNE DO ZAJĘĆ GIMNASTYKI KOREKCYJNEJ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1f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80"/>
        <w:gridCol w:w="834"/>
        <w:gridCol w:w="7149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INDYWIDUALNYCH ZAJĘĆ GIMNASTYKI KOREKCYJNEJ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1g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gtwarancja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80"/>
        <w:gridCol w:w="834"/>
        <w:gridCol w:w="7221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EDUKACYJNYCH ROZWIJAJĄCYCH KOMPETENCJE SPOŁECZNO-EMOCJONALNE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1h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80"/>
        <w:gridCol w:w="834"/>
        <w:gridCol w:w="7185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EDUKACYJNYCH ROZWIJAJĄCYCH KOMPETENCJE JĘZYKOWE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1i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522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MAŁY MATEMATYK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1j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00"/>
        <w:gridCol w:w="834"/>
        <w:gridCol w:w="7065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ROZWIJAJĄCYCH POSTAWĘ KREATYWNĄ PRZEZ PLASTYKĘ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1k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00"/>
        <w:gridCol w:w="834"/>
        <w:gridCol w:w="7081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ROZWIJAJĄCYCH POSTAWĘ KREATYWNĄ PRZEZ SENSOPLASTYKĘ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1l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00"/>
        <w:gridCol w:w="834"/>
        <w:gridCol w:w="7085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ROZWIJAJĄCYCH POSTAWĘ KREATYWNĄ POPRZEZ MUZYKĘ I RUCH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1m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282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MALI ODKRYWCY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1n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22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KRERATYWNE</w:t>
            </w:r>
          </w:p>
        </w:tc>
      </w:tr>
    </w:tbl>
    <w:p w:rsidR="00DC4E48" w:rsidRPr="00DC4E48" w:rsidRDefault="00DC4E48" w:rsidP="00D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1o do SIWZ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DC4E48" w:rsidRPr="00DC4E48" w:rsidTr="00DC4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E48" w:rsidRPr="00DC4E48" w:rsidRDefault="00DC4E48" w:rsidP="00DC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E48" w:rsidRPr="00DC4E48" w:rsidRDefault="00DC4E48" w:rsidP="00DC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4E48" w:rsidRPr="00DC4E48" w:rsidTr="00DC4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48" w:rsidRPr="00DC4E48" w:rsidRDefault="00DC4E48" w:rsidP="00DC4E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4E48" w:rsidRPr="00DC4E48" w:rsidRDefault="00DC4E48" w:rsidP="00DC4E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4E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4E48" w:rsidRPr="00DC4E48" w:rsidRDefault="00DC4E48" w:rsidP="00DC4E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4E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4E48" w:rsidRPr="00DC4E48" w:rsidRDefault="00DC4E48" w:rsidP="00DC4E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4E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27EB" w:rsidRDefault="008E725F"/>
    <w:sectPr w:rsidR="0029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8"/>
    <w:rsid w:val="00605CAF"/>
    <w:rsid w:val="008549CA"/>
    <w:rsid w:val="008E725F"/>
    <w:rsid w:val="00D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338"/>
  <w15:chartTrackingRefBased/>
  <w15:docId w15:val="{4D541D2C-C291-4A80-AA8F-4EA3D34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4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4E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4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4E4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4621</Words>
  <Characters>27729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BeataCylwik</dc:creator>
  <cp:keywords/>
  <dc:description/>
  <cp:lastModifiedBy>BeataCylwik</cp:lastModifiedBy>
  <cp:revision>2</cp:revision>
  <dcterms:created xsi:type="dcterms:W3CDTF">2018-10-08T14:30:00Z</dcterms:created>
  <dcterms:modified xsi:type="dcterms:W3CDTF">2018-10-08T14:33:00Z</dcterms:modified>
</cp:coreProperties>
</file>